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28400" w:type="dxa"/>
        <w:gridCol w:w="167850" w:type="dxa"/>
        <w:gridCol w:w="30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284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0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27-06-2024</w:t>
            </w:r>
          </w:p>
        </w:tc>
        <w:tc>
          <w:tcPr>
            <w:tcW w:w="167850" w:type="pct"/>
          </w:tcPr>
          <w:p>
            <w:pPr/>
            <w:r>
              <w:rPr/>
              <w:t xml:space="preserve">Contratos formalizados y prórrogas de contratos 2022, 2023 y 2024</w:t>
            </w:r>
          </w:p>
        </w:tc>
        <w:tc>
          <w:tcPr>
            <w:tcW w:w="309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2026-05-17T12:47:27+00:00</dcterms:created>
  <dcterms:modified xsi:type="dcterms:W3CDTF">2026-05-17T12:47:27+00:00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